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8" w:rsidRPr="00A815BF" w:rsidRDefault="00915778" w:rsidP="009157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15BF">
        <w:rPr>
          <w:rFonts w:ascii="Arial" w:hAnsi="Arial" w:cs="Arial"/>
          <w:b/>
          <w:sz w:val="22"/>
          <w:szCs w:val="22"/>
        </w:rPr>
        <w:t>Accounting Policies</w:t>
      </w:r>
    </w:p>
    <w:p w:rsidR="00915778" w:rsidRPr="002D3D89" w:rsidRDefault="00915778" w:rsidP="00915778">
      <w:pPr>
        <w:pStyle w:val="Heading1"/>
        <w:rPr>
          <w:sz w:val="22"/>
          <w:szCs w:val="22"/>
        </w:rPr>
      </w:pPr>
      <w:r w:rsidRPr="002D3D89">
        <w:rPr>
          <w:sz w:val="22"/>
          <w:szCs w:val="22"/>
        </w:rPr>
        <w:t>Reporting Entity</w:t>
      </w:r>
    </w:p>
    <w:p w:rsidR="00915778" w:rsidRPr="002D3D89" w:rsidRDefault="00915778" w:rsidP="00915778">
      <w:pPr>
        <w:rPr>
          <w:rFonts w:ascii="Arial" w:hAnsi="Arial" w:cs="Arial"/>
          <w:color w:val="000000"/>
          <w:sz w:val="22"/>
          <w:szCs w:val="22"/>
        </w:rPr>
      </w:pPr>
      <w:r w:rsidRPr="002D3D89">
        <w:rPr>
          <w:rFonts w:ascii="Arial" w:hAnsi="Arial" w:cs="Arial"/>
          <w:color w:val="000000"/>
          <w:sz w:val="22"/>
          <w:szCs w:val="22"/>
        </w:rPr>
        <w:t xml:space="preserve">The Firm Limited is a </w:t>
      </w:r>
      <w:smartTag w:uri="urn:schemas-microsoft-com:office:smarttags" w:element="country-region">
        <w:smartTag w:uri="urn:schemas-microsoft-com:office:smarttags" w:element="place">
          <w:r w:rsidRPr="002D3D89"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 w:rsidRPr="002D3D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company</w:t>
      </w:r>
      <w:r w:rsidRPr="002D3D89">
        <w:rPr>
          <w:rFonts w:ascii="Arial" w:hAnsi="Arial" w:cs="Arial"/>
          <w:color w:val="000000"/>
          <w:sz w:val="22"/>
          <w:szCs w:val="22"/>
        </w:rPr>
        <w:t xml:space="preserve"> registered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D89">
        <w:rPr>
          <w:rFonts w:ascii="Arial" w:hAnsi="Arial" w:cs="Arial"/>
          <w:color w:val="000000"/>
          <w:sz w:val="22"/>
          <w:szCs w:val="22"/>
        </w:rPr>
        <w:t xml:space="preserve">under the </w:t>
      </w:r>
      <w:r w:rsidRPr="002D3D89">
        <w:rPr>
          <w:rFonts w:ascii="Arial" w:hAnsi="Arial" w:cs="Arial"/>
          <w:i/>
          <w:color w:val="000000"/>
          <w:sz w:val="22"/>
          <w:szCs w:val="22"/>
        </w:rPr>
        <w:t>Companies Act 1993</w:t>
      </w:r>
      <w:r w:rsidRPr="002D3D8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15778" w:rsidRPr="002D3D89" w:rsidRDefault="00915778" w:rsidP="00915778">
      <w:pPr>
        <w:rPr>
          <w:rFonts w:ascii="Arial" w:hAnsi="Arial" w:cs="Arial"/>
          <w:color w:val="000000"/>
          <w:sz w:val="22"/>
          <w:szCs w:val="22"/>
        </w:rPr>
      </w:pPr>
      <w:r w:rsidRPr="002D3D89">
        <w:rPr>
          <w:rFonts w:ascii="Arial" w:hAnsi="Arial" w:cs="Arial"/>
          <w:color w:val="000000"/>
          <w:sz w:val="22"/>
          <w:szCs w:val="22"/>
        </w:rPr>
        <w:t>The company is a sporting goods distributor based in Invercargill.</w:t>
      </w:r>
    </w:p>
    <w:p w:rsidR="00915778" w:rsidRPr="002D3D89" w:rsidRDefault="00915778" w:rsidP="009157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D3D89">
        <w:rPr>
          <w:rFonts w:ascii="Arial" w:hAnsi="Arial" w:cs="Arial"/>
          <w:color w:val="000000"/>
          <w:sz w:val="22"/>
          <w:szCs w:val="22"/>
        </w:rPr>
        <w:t>The company is a reporting entity for the purposes of the Financial Reporting Act 1993 and its financial statements comply with that Act.</w:t>
      </w:r>
    </w:p>
    <w:p w:rsidR="00915778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15778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Compliance with IFRSs</w:t>
      </w:r>
    </w:p>
    <w:p w:rsidR="00915778" w:rsidRPr="00EB3953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financial statements comply with International Financial Reporting Standards</w:t>
      </w:r>
    </w:p>
    <w:p w:rsidR="00915778" w:rsidRPr="003F424F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778" w:rsidRPr="003F424F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424F">
        <w:rPr>
          <w:rFonts w:ascii="Arial" w:hAnsi="Arial" w:cs="Arial"/>
          <w:b/>
          <w:bCs/>
          <w:color w:val="000000"/>
          <w:sz w:val="22"/>
          <w:szCs w:val="22"/>
        </w:rPr>
        <w:t>Bas</w:t>
      </w:r>
      <w:r>
        <w:rPr>
          <w:rFonts w:ascii="Arial" w:hAnsi="Arial" w:cs="Arial"/>
          <w:b/>
          <w:bCs/>
          <w:color w:val="000000"/>
          <w:sz w:val="22"/>
          <w:szCs w:val="22"/>
        </w:rPr>
        <w:t>is of Preparation</w:t>
      </w:r>
    </w:p>
    <w:p w:rsidR="00915778" w:rsidRPr="002D3D89" w:rsidRDefault="00915778" w:rsidP="009157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D3D89">
        <w:rPr>
          <w:rFonts w:ascii="Arial" w:hAnsi="Arial" w:cs="Arial"/>
          <w:color w:val="000000"/>
          <w:sz w:val="22"/>
          <w:szCs w:val="22"/>
        </w:rPr>
        <w:t xml:space="preserve">The financial statements have been prepared in accordance with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2D3D89">
        <w:rPr>
          <w:rFonts w:ascii="Arial" w:hAnsi="Arial" w:cs="Arial"/>
          <w:color w:val="000000"/>
          <w:sz w:val="22"/>
          <w:szCs w:val="22"/>
        </w:rPr>
        <w:t xml:space="preserve">enerally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2D3D89">
        <w:rPr>
          <w:rFonts w:ascii="Arial" w:hAnsi="Arial" w:cs="Arial"/>
          <w:color w:val="000000"/>
          <w:sz w:val="22"/>
          <w:szCs w:val="22"/>
        </w:rPr>
        <w:t>ccepted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2D3D89">
        <w:rPr>
          <w:rFonts w:ascii="Arial" w:hAnsi="Arial" w:cs="Arial"/>
          <w:color w:val="000000"/>
          <w:sz w:val="22"/>
          <w:szCs w:val="22"/>
        </w:rPr>
        <w:t xml:space="preserve">ccounting </w:t>
      </w:r>
      <w:r>
        <w:rPr>
          <w:rFonts w:ascii="Arial" w:hAnsi="Arial" w:cs="Arial"/>
          <w:color w:val="000000"/>
          <w:sz w:val="22"/>
          <w:szCs w:val="22"/>
        </w:rPr>
        <w:t xml:space="preserve">practice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>.</w:t>
      </w:r>
    </w:p>
    <w:p w:rsidR="00915778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F424F">
        <w:rPr>
          <w:rFonts w:ascii="Arial" w:hAnsi="Arial" w:cs="Arial"/>
          <w:color w:val="000000"/>
          <w:sz w:val="22"/>
          <w:szCs w:val="22"/>
        </w:rPr>
        <w:t xml:space="preserve">The financial statements have been prepared on the basis of historical cost </w:t>
      </w:r>
      <w:r>
        <w:rPr>
          <w:rFonts w:ascii="Arial" w:hAnsi="Arial" w:cs="Arial"/>
          <w:color w:val="000000"/>
          <w:sz w:val="22"/>
          <w:szCs w:val="22"/>
        </w:rPr>
        <w:t xml:space="preserve">modified to include the revaluation of land and buildings, available for sale financial assets and investments held for trading  </w:t>
      </w:r>
    </w:p>
    <w:p w:rsidR="00915778" w:rsidRPr="003F424F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presentation currency is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 xml:space="preserve"> dollars.</w:t>
      </w:r>
    </w:p>
    <w:p w:rsidR="00915778" w:rsidRPr="003F424F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15778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424F">
        <w:rPr>
          <w:rFonts w:ascii="Arial" w:hAnsi="Arial" w:cs="Arial"/>
          <w:b/>
          <w:bCs/>
          <w:color w:val="000000"/>
          <w:sz w:val="22"/>
          <w:szCs w:val="22"/>
        </w:rPr>
        <w:t>Specific Accounting Policies</w:t>
      </w:r>
    </w:p>
    <w:p w:rsidR="00915778" w:rsidRPr="002D3D89" w:rsidRDefault="00915778" w:rsidP="0091577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specific accounting policies that materially affect the measurement of financial performance and financial position are set out below. These policies have been applied consistently.</w:t>
      </w:r>
    </w:p>
    <w:p w:rsidR="00915778" w:rsidRPr="003F424F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>Receivables</w:t>
      </w:r>
      <w:r w:rsidRPr="003F424F">
        <w:rPr>
          <w:rFonts w:ascii="Arial" w:hAnsi="Arial" w:cs="Arial"/>
          <w:color w:val="000000"/>
          <w:sz w:val="22"/>
          <w:szCs w:val="22"/>
        </w:rPr>
        <w:br/>
        <w:t>Receivables are stated at estimated realisable value after providing against debts where collection is doubtful. Bad debts are written off during the period in which they are identified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15778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bCs/>
          <w:i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 xml:space="preserve">Inventories </w:t>
      </w:r>
    </w:p>
    <w:p w:rsidR="00915778" w:rsidRPr="006C15CA" w:rsidRDefault="00915778" w:rsidP="00915778">
      <w:pPr>
        <w:ind w:left="360"/>
        <w:rPr>
          <w:rFonts w:ascii="Arial" w:hAnsi="Arial" w:cs="Arial"/>
          <w:bCs/>
          <w:i/>
          <w:color w:val="000000"/>
          <w:sz w:val="22"/>
          <w:szCs w:val="22"/>
        </w:rPr>
      </w:pPr>
      <w:r w:rsidRPr="003F424F">
        <w:rPr>
          <w:rFonts w:ascii="Arial" w:hAnsi="Arial" w:cs="Arial"/>
          <w:color w:val="000000"/>
          <w:sz w:val="22"/>
          <w:szCs w:val="22"/>
        </w:rPr>
        <w:t>Inventories are stated at the lower of cost and net realisable value. Cost is based on t</w:t>
      </w:r>
      <w:r>
        <w:rPr>
          <w:rFonts w:ascii="Arial" w:hAnsi="Arial" w:cs="Arial"/>
          <w:color w:val="000000"/>
          <w:sz w:val="22"/>
          <w:szCs w:val="22"/>
        </w:rPr>
        <w:t>he first-in first-out principle.</w:t>
      </w:r>
    </w:p>
    <w:p w:rsidR="00915778" w:rsidRPr="006C15CA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bCs/>
          <w:i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 xml:space="preserve">Investments </w:t>
      </w:r>
    </w:p>
    <w:p w:rsidR="00915778" w:rsidRPr="008C1271" w:rsidRDefault="00915778" w:rsidP="0091577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1271">
        <w:rPr>
          <w:rFonts w:ascii="Arial" w:hAnsi="Arial" w:cs="Arial"/>
          <w:sz w:val="22"/>
          <w:szCs w:val="22"/>
        </w:rPr>
        <w:t xml:space="preserve">Management classifies investments into two categories. </w:t>
      </w:r>
      <w:r>
        <w:rPr>
          <w:rFonts w:ascii="Arial" w:hAnsi="Arial" w:cs="Arial"/>
          <w:sz w:val="22"/>
          <w:szCs w:val="22"/>
        </w:rPr>
        <w:t>F</w:t>
      </w:r>
      <w:r w:rsidRPr="008C1271">
        <w:rPr>
          <w:rFonts w:ascii="Arial" w:hAnsi="Arial" w:cs="Arial"/>
          <w:sz w:val="22"/>
          <w:szCs w:val="22"/>
        </w:rPr>
        <w:t xml:space="preserve">inancial assets </w:t>
      </w:r>
      <w:r>
        <w:rPr>
          <w:rFonts w:ascii="Arial" w:hAnsi="Arial" w:cs="Arial"/>
          <w:sz w:val="22"/>
          <w:szCs w:val="22"/>
        </w:rPr>
        <w:t xml:space="preserve">which are </w:t>
      </w:r>
      <w:r w:rsidRPr="008C1271">
        <w:rPr>
          <w:rFonts w:ascii="Arial" w:hAnsi="Arial" w:cs="Arial"/>
          <w:sz w:val="22"/>
          <w:szCs w:val="22"/>
        </w:rPr>
        <w:t>available-for-sale</w:t>
      </w:r>
      <w:r>
        <w:rPr>
          <w:rFonts w:ascii="Arial" w:hAnsi="Arial" w:cs="Arial"/>
          <w:sz w:val="22"/>
          <w:szCs w:val="22"/>
        </w:rPr>
        <w:t xml:space="preserve"> investments</w:t>
      </w:r>
      <w:r w:rsidRPr="008C1271">
        <w:rPr>
          <w:rFonts w:ascii="Arial" w:hAnsi="Arial" w:cs="Arial"/>
          <w:sz w:val="22"/>
          <w:szCs w:val="22"/>
        </w:rPr>
        <w:t xml:space="preserve"> and those </w:t>
      </w:r>
      <w:r>
        <w:rPr>
          <w:rFonts w:ascii="Arial" w:hAnsi="Arial" w:cs="Arial"/>
          <w:sz w:val="22"/>
          <w:szCs w:val="22"/>
        </w:rPr>
        <w:t xml:space="preserve">investments </w:t>
      </w:r>
      <w:r w:rsidRPr="008C1271">
        <w:rPr>
          <w:rFonts w:ascii="Arial" w:hAnsi="Arial" w:cs="Arial"/>
          <w:sz w:val="22"/>
          <w:szCs w:val="22"/>
        </w:rPr>
        <w:t>held for trading. The classification depends on the purpo</w:t>
      </w:r>
      <w:r>
        <w:rPr>
          <w:rFonts w:ascii="Arial" w:hAnsi="Arial" w:cs="Arial"/>
          <w:sz w:val="22"/>
          <w:szCs w:val="22"/>
        </w:rPr>
        <w:t>se for which the assets were acquired.</w:t>
      </w:r>
    </w:p>
    <w:p w:rsidR="00915778" w:rsidRPr="008C1271" w:rsidRDefault="00915778" w:rsidP="00915778">
      <w:pPr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Investments</w:t>
      </w:r>
      <w:r w:rsidRPr="008C1271">
        <w:rPr>
          <w:rFonts w:ascii="Arial" w:hAnsi="Arial" w:cs="Arial"/>
          <w:i/>
          <w:sz w:val="22"/>
          <w:szCs w:val="22"/>
        </w:rPr>
        <w:t xml:space="preserve"> held for trading</w:t>
      </w:r>
    </w:p>
    <w:p w:rsidR="00915778" w:rsidRPr="008C1271" w:rsidRDefault="00915778" w:rsidP="0091577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1271">
        <w:rPr>
          <w:rFonts w:ascii="Arial" w:hAnsi="Arial" w:cs="Arial"/>
          <w:sz w:val="22"/>
          <w:szCs w:val="22"/>
        </w:rPr>
        <w:t>An investment is classified as held for trading if it was acquired primarily for the purpose of selling in the short-term or if management designates them as held for trading.</w:t>
      </w:r>
      <w:r>
        <w:rPr>
          <w:rFonts w:ascii="Arial" w:hAnsi="Arial" w:cs="Arial"/>
          <w:sz w:val="22"/>
          <w:szCs w:val="22"/>
        </w:rPr>
        <w:t xml:space="preserve">  Investments held for trading are recognised at their historical cost at the date of acquisition.</w:t>
      </w:r>
    </w:p>
    <w:p w:rsidR="00915778" w:rsidRPr="008C1271" w:rsidRDefault="00915778" w:rsidP="00915778">
      <w:pPr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8C1271">
        <w:rPr>
          <w:rFonts w:ascii="Arial" w:hAnsi="Arial" w:cs="Arial"/>
          <w:i/>
          <w:sz w:val="22"/>
          <w:szCs w:val="22"/>
        </w:rPr>
        <w:t xml:space="preserve">Available-for-sale </w:t>
      </w:r>
      <w:r>
        <w:rPr>
          <w:rFonts w:ascii="Arial" w:hAnsi="Arial" w:cs="Arial"/>
          <w:i/>
          <w:sz w:val="22"/>
          <w:szCs w:val="22"/>
        </w:rPr>
        <w:t>investments</w:t>
      </w:r>
    </w:p>
    <w:p w:rsidR="00915778" w:rsidRDefault="00915778" w:rsidP="0091577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1271">
        <w:rPr>
          <w:rFonts w:ascii="Arial" w:hAnsi="Arial" w:cs="Arial"/>
          <w:sz w:val="22"/>
          <w:szCs w:val="22"/>
        </w:rPr>
        <w:t xml:space="preserve">Available-for-sale </w:t>
      </w:r>
      <w:r>
        <w:rPr>
          <w:rFonts w:ascii="Arial" w:hAnsi="Arial" w:cs="Arial"/>
          <w:sz w:val="22"/>
          <w:szCs w:val="22"/>
        </w:rPr>
        <w:t>investments</w:t>
      </w:r>
      <w:r w:rsidRPr="008C12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classified as non-current unless management intends to dispose of them in the next 12 months.  Available-for-sale i</w:t>
      </w:r>
      <w:r w:rsidRPr="008C1271">
        <w:rPr>
          <w:rFonts w:ascii="Arial" w:hAnsi="Arial" w:cs="Arial"/>
          <w:sz w:val="22"/>
          <w:szCs w:val="22"/>
        </w:rPr>
        <w:t xml:space="preserve">nvestments are recognised at their fair value at the date of acquisition </w:t>
      </w:r>
    </w:p>
    <w:p w:rsidR="00915778" w:rsidRDefault="00915778" w:rsidP="0091577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915778" w:rsidRPr="00A14ED3" w:rsidRDefault="00915778" w:rsidP="0091577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1271">
        <w:rPr>
          <w:rFonts w:ascii="Arial" w:hAnsi="Arial" w:cs="Arial"/>
          <w:sz w:val="22"/>
          <w:szCs w:val="22"/>
        </w:rPr>
        <w:t xml:space="preserve">Available-for-sale </w:t>
      </w:r>
      <w:r>
        <w:rPr>
          <w:rFonts w:ascii="Arial" w:hAnsi="Arial" w:cs="Arial"/>
          <w:sz w:val="22"/>
          <w:szCs w:val="22"/>
        </w:rPr>
        <w:t xml:space="preserve">Investments </w:t>
      </w:r>
      <w:r w:rsidRPr="008C127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investments</w:t>
      </w:r>
      <w:r w:rsidRPr="008C1271">
        <w:rPr>
          <w:rFonts w:ascii="Arial" w:hAnsi="Arial" w:cs="Arial"/>
          <w:sz w:val="22"/>
          <w:szCs w:val="22"/>
        </w:rPr>
        <w:t xml:space="preserve"> held for trading are subsequently carried at fair value.</w:t>
      </w:r>
    </w:p>
    <w:p w:rsidR="00915778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 xml:space="preserve">Property, plant and </w:t>
      </w:r>
      <w:smartTag w:uri="urn:schemas-microsoft-com:office:smarttags" w:element="place">
        <w:smartTag w:uri="urn:schemas-microsoft-com:office:smarttags" w:element="PlaceName">
          <w:r w:rsidRPr="006C15CA">
            <w:rPr>
              <w:rFonts w:ascii="Arial" w:hAnsi="Arial" w:cs="Arial"/>
              <w:bCs/>
              <w:i/>
              <w:color w:val="000000"/>
              <w:sz w:val="22"/>
              <w:szCs w:val="22"/>
            </w:rPr>
            <w:t>equipment</w:t>
          </w:r>
        </w:smartTag>
        <w:r w:rsidRPr="006C15CA">
          <w:rPr>
            <w:rFonts w:ascii="Arial" w:hAnsi="Arial" w:cs="Arial"/>
            <w:bCs/>
            <w:i/>
            <w:color w:val="000000"/>
            <w:sz w:val="22"/>
            <w:szCs w:val="22"/>
          </w:rPr>
          <w:br/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2"/>
              <w:szCs w:val="22"/>
            </w:rPr>
            <w:t>Lan</w:t>
          </w:r>
          <w:r w:rsidRPr="003F424F">
            <w:rPr>
              <w:rFonts w:ascii="Arial" w:hAnsi="Arial" w:cs="Arial"/>
              <w:color w:val="000000"/>
              <w:sz w:val="22"/>
              <w:szCs w:val="22"/>
            </w:rPr>
            <w:t>d</w:t>
          </w:r>
        </w:smartTag>
      </w:smartTag>
      <w:r w:rsidRPr="003F424F">
        <w:rPr>
          <w:rFonts w:ascii="Arial" w:hAnsi="Arial" w:cs="Arial"/>
          <w:color w:val="000000"/>
          <w:sz w:val="22"/>
          <w:szCs w:val="22"/>
        </w:rPr>
        <w:t xml:space="preserve"> and buildings are stated at </w:t>
      </w:r>
      <w:r>
        <w:rPr>
          <w:rFonts w:ascii="Arial" w:hAnsi="Arial" w:cs="Arial"/>
          <w:color w:val="000000"/>
          <w:sz w:val="22"/>
          <w:szCs w:val="22"/>
        </w:rPr>
        <w:t>fair value,</w:t>
      </w:r>
      <w:r w:rsidRPr="003F424F">
        <w:rPr>
          <w:rFonts w:ascii="Arial" w:hAnsi="Arial" w:cs="Arial"/>
          <w:color w:val="000000"/>
          <w:sz w:val="22"/>
          <w:szCs w:val="22"/>
        </w:rPr>
        <w:t xml:space="preserve"> as determined every three years by an independent registered valuer.</w:t>
      </w:r>
    </w:p>
    <w:p w:rsidR="00915778" w:rsidRDefault="00915778" w:rsidP="00915778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items of property, plant and equipment</w:t>
      </w:r>
      <w:r w:rsidRPr="003F424F">
        <w:rPr>
          <w:rFonts w:ascii="Arial" w:hAnsi="Arial" w:cs="Arial"/>
          <w:color w:val="000000"/>
          <w:sz w:val="22"/>
          <w:szCs w:val="22"/>
        </w:rPr>
        <w:t xml:space="preserve"> are stated at </w:t>
      </w:r>
      <w:r>
        <w:rPr>
          <w:rFonts w:ascii="Arial" w:hAnsi="Arial" w:cs="Arial"/>
          <w:color w:val="000000"/>
          <w:sz w:val="22"/>
          <w:szCs w:val="22"/>
        </w:rPr>
        <w:t xml:space="preserve">historical </w:t>
      </w:r>
      <w:r w:rsidRPr="003F424F">
        <w:rPr>
          <w:rFonts w:ascii="Arial" w:hAnsi="Arial" w:cs="Arial"/>
          <w:color w:val="000000"/>
          <w:sz w:val="22"/>
          <w:szCs w:val="22"/>
        </w:rPr>
        <w:t>cost and depreciated as outlined below.</w:t>
      </w:r>
    </w:p>
    <w:p w:rsidR="00915778" w:rsidRPr="003F424F" w:rsidRDefault="00915778" w:rsidP="00915778">
      <w:pPr>
        <w:rPr>
          <w:rFonts w:ascii="Arial" w:hAnsi="Arial" w:cs="Arial"/>
          <w:color w:val="000000"/>
          <w:sz w:val="22"/>
          <w:szCs w:val="22"/>
        </w:rPr>
      </w:pPr>
    </w:p>
    <w:p w:rsidR="00915778" w:rsidRPr="006C15CA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bCs/>
          <w:i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lastRenderedPageBreak/>
        <w:t>Depreciation</w:t>
      </w:r>
    </w:p>
    <w:p w:rsidR="00915778" w:rsidRPr="003F424F" w:rsidRDefault="00915778" w:rsidP="0091577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F424F">
        <w:rPr>
          <w:rFonts w:ascii="Arial" w:hAnsi="Arial" w:cs="Arial"/>
          <w:color w:val="000000"/>
          <w:sz w:val="22"/>
          <w:szCs w:val="22"/>
        </w:rPr>
        <w:t xml:space="preserve">Depreciation is </w:t>
      </w:r>
      <w:r>
        <w:rPr>
          <w:rFonts w:ascii="Arial" w:hAnsi="Arial" w:cs="Arial"/>
          <w:color w:val="000000"/>
          <w:sz w:val="22"/>
          <w:szCs w:val="22"/>
        </w:rPr>
        <w:t xml:space="preserve">charged to the income statement to </w:t>
      </w:r>
      <w:r w:rsidRPr="003F424F">
        <w:rPr>
          <w:rFonts w:ascii="Arial" w:hAnsi="Arial" w:cs="Arial"/>
          <w:color w:val="000000"/>
          <w:sz w:val="22"/>
          <w:szCs w:val="22"/>
        </w:rPr>
        <w:t xml:space="preserve">allocate the cost or revalued amount of an asset, less any residual value, over its useful life. </w:t>
      </w:r>
    </w:p>
    <w:p w:rsidR="00915778" w:rsidRPr="006C15CA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bCs/>
          <w:i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>Revenue</w:t>
      </w:r>
    </w:p>
    <w:p w:rsidR="00915778" w:rsidRPr="00D965D5" w:rsidRDefault="00915778" w:rsidP="00915778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Revenue is measured at the fair value of the consideration received or receivable for the sale of goods and services.</w:t>
      </w:r>
    </w:p>
    <w:p w:rsidR="00915778" w:rsidRPr="006C15CA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>Dividends</w:t>
      </w:r>
      <w:r>
        <w:rPr>
          <w:rFonts w:ascii="Arial" w:hAnsi="Arial" w:cs="Arial"/>
          <w:color w:val="000000"/>
          <w:sz w:val="22"/>
          <w:szCs w:val="22"/>
        </w:rPr>
        <w:br/>
        <w:t>D</w:t>
      </w:r>
      <w:r w:rsidRPr="006C15CA">
        <w:rPr>
          <w:rFonts w:ascii="Arial" w:hAnsi="Arial" w:cs="Arial"/>
          <w:color w:val="000000"/>
          <w:sz w:val="22"/>
          <w:szCs w:val="22"/>
        </w:rPr>
        <w:t>ividends are recognised in the period that they are authorised and approved.</w:t>
      </w:r>
    </w:p>
    <w:p w:rsidR="00915778" w:rsidRPr="006C15CA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>Goods</w:t>
      </w:r>
      <w:r w:rsidRPr="006C15CA">
        <w:rPr>
          <w:rFonts w:ascii="Arial" w:hAnsi="Arial" w:cs="Arial"/>
          <w:i/>
          <w:color w:val="000000"/>
          <w:sz w:val="22"/>
          <w:szCs w:val="22"/>
        </w:rPr>
        <w:t xml:space="preserve"> and services tax</w:t>
      </w:r>
    </w:p>
    <w:p w:rsidR="00915778" w:rsidRPr="006C15CA" w:rsidRDefault="00915778" w:rsidP="0091577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6C15CA">
        <w:rPr>
          <w:rFonts w:ascii="Arial" w:hAnsi="Arial" w:cs="Arial"/>
          <w:color w:val="000000"/>
          <w:sz w:val="22"/>
          <w:szCs w:val="22"/>
        </w:rPr>
        <w:t>All amounts are shown exclusive of Goods and Services Tax (GST), except for receivables and payables that are stated inclusive of GST.</w:t>
      </w:r>
    </w:p>
    <w:p w:rsidR="00915778" w:rsidRPr="006C15CA" w:rsidRDefault="00915778" w:rsidP="00915778">
      <w:pPr>
        <w:numPr>
          <w:ilvl w:val="0"/>
          <w:numId w:val="1"/>
        </w:numPr>
        <w:tabs>
          <w:tab w:val="clear" w:pos="2160"/>
          <w:tab w:val="num" w:pos="360"/>
        </w:tabs>
        <w:spacing w:before="120"/>
        <w:ind w:left="360" w:hanging="360"/>
        <w:rPr>
          <w:rFonts w:ascii="Arial" w:hAnsi="Arial" w:cs="Arial"/>
          <w:i/>
          <w:color w:val="000000"/>
          <w:sz w:val="22"/>
          <w:szCs w:val="22"/>
        </w:rPr>
      </w:pPr>
      <w:r w:rsidRPr="006C15CA">
        <w:rPr>
          <w:rFonts w:ascii="Arial" w:hAnsi="Arial" w:cs="Arial"/>
          <w:bCs/>
          <w:i/>
          <w:color w:val="000000"/>
          <w:sz w:val="22"/>
          <w:szCs w:val="22"/>
        </w:rPr>
        <w:t>Changes</w:t>
      </w:r>
      <w:r w:rsidRPr="006C15CA">
        <w:rPr>
          <w:rFonts w:ascii="Arial" w:hAnsi="Arial" w:cs="Arial"/>
          <w:i/>
          <w:color w:val="000000"/>
          <w:sz w:val="22"/>
          <w:szCs w:val="22"/>
        </w:rPr>
        <w:t xml:space="preserve"> in Accounting Policy</w:t>
      </w:r>
    </w:p>
    <w:p w:rsidR="00915778" w:rsidRDefault="00915778" w:rsidP="0091577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F424F">
        <w:rPr>
          <w:rFonts w:ascii="Arial" w:hAnsi="Arial" w:cs="Arial"/>
          <w:color w:val="000000"/>
          <w:sz w:val="22"/>
          <w:szCs w:val="22"/>
        </w:rPr>
        <w:t>There have been no significant changes in accounting policy.  All policies have been applied on a basis consistent with those used in previous years.</w:t>
      </w:r>
    </w:p>
    <w:p w:rsidR="00157648" w:rsidRDefault="00157648"/>
    <w:p w:rsidR="00915778" w:rsidRDefault="00915778"/>
    <w:p w:rsidR="00915778" w:rsidRDefault="00915778"/>
    <w:p w:rsidR="00915778" w:rsidRDefault="00915778" w:rsidP="00915778">
      <w:pPr>
        <w:rPr>
          <w:rFonts w:ascii="Arial" w:hAnsi="Arial" w:cs="Arial"/>
          <w:b/>
          <w:u w:val="single"/>
        </w:rPr>
      </w:pPr>
      <w:r w:rsidRPr="004E42AC">
        <w:rPr>
          <w:rFonts w:ascii="Arial" w:hAnsi="Arial" w:cs="Arial"/>
          <w:b/>
          <w:u w:val="single"/>
        </w:rPr>
        <w:t>Exempt</w:t>
      </w:r>
      <w:r>
        <w:rPr>
          <w:rFonts w:ascii="Arial" w:hAnsi="Arial" w:cs="Arial"/>
          <w:b/>
          <w:u w:val="single"/>
        </w:rPr>
        <w:t xml:space="preserve"> Companies</w:t>
      </w:r>
    </w:p>
    <w:p w:rsidR="00915778" w:rsidRDefault="00915778" w:rsidP="00915778">
      <w:pPr>
        <w:rPr>
          <w:rFonts w:ascii="Arial" w:hAnsi="Arial" w:cs="Arial"/>
          <w:b/>
          <w:u w:val="single"/>
        </w:rPr>
      </w:pPr>
      <w:r w:rsidRPr="004E42AC">
        <w:rPr>
          <w:rFonts w:ascii="Arial" w:hAnsi="Arial" w:cs="Arial"/>
          <w:b/>
          <w:i/>
          <w:sz w:val="22"/>
          <w:szCs w:val="22"/>
        </w:rPr>
        <w:t>Are exempt from providing general purpose financial statements</w:t>
      </w:r>
      <w:r>
        <w:rPr>
          <w:rFonts w:ascii="Arial" w:hAnsi="Arial" w:cs="Arial"/>
          <w:b/>
          <w:i/>
          <w:sz w:val="22"/>
          <w:szCs w:val="22"/>
        </w:rPr>
        <w:t xml:space="preserve"> if at least 2 of the following apply:</w:t>
      </w:r>
    </w:p>
    <w:p w:rsidR="00915778" w:rsidRDefault="00915778" w:rsidP="00915778">
      <w:pPr>
        <w:numPr>
          <w:ilvl w:val="0"/>
          <w:numId w:val="2"/>
        </w:numPr>
        <w:tabs>
          <w:tab w:val="num" w:pos="808"/>
        </w:tabs>
        <w:ind w:left="950" w:hanging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balance date total assets are less than $1 million</w:t>
      </w:r>
    </w:p>
    <w:p w:rsidR="00915778" w:rsidRDefault="00915778" w:rsidP="00915778">
      <w:pPr>
        <w:numPr>
          <w:ilvl w:val="0"/>
          <w:numId w:val="2"/>
        </w:numPr>
        <w:tabs>
          <w:tab w:val="num" w:pos="808"/>
        </w:tabs>
        <w:ind w:left="950" w:hanging="475"/>
        <w:rPr>
          <w:rFonts w:ascii="Arial" w:hAnsi="Arial" w:cs="Arial"/>
          <w:sz w:val="22"/>
          <w:szCs w:val="22"/>
        </w:rPr>
      </w:pPr>
      <w:r w:rsidRPr="00E128E0">
        <w:rPr>
          <w:rFonts w:ascii="Arial" w:hAnsi="Arial" w:cs="Arial"/>
          <w:sz w:val="22"/>
          <w:szCs w:val="22"/>
        </w:rPr>
        <w:t xml:space="preserve">turnover </w:t>
      </w:r>
      <w:r>
        <w:rPr>
          <w:rFonts w:ascii="Arial" w:hAnsi="Arial" w:cs="Arial"/>
          <w:sz w:val="22"/>
          <w:szCs w:val="22"/>
        </w:rPr>
        <w:t xml:space="preserve">is less tan </w:t>
      </w:r>
      <w:r w:rsidRPr="00E128E0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</w:t>
      </w:r>
      <w:r w:rsidRPr="00E128E0">
        <w:rPr>
          <w:rFonts w:ascii="Arial" w:hAnsi="Arial" w:cs="Arial"/>
          <w:sz w:val="22"/>
          <w:szCs w:val="22"/>
        </w:rPr>
        <w:t xml:space="preserve"> million</w:t>
      </w:r>
    </w:p>
    <w:p w:rsidR="00915778" w:rsidRDefault="00915778" w:rsidP="00915778">
      <w:pPr>
        <w:numPr>
          <w:ilvl w:val="0"/>
          <w:numId w:val="2"/>
        </w:numPr>
        <w:tabs>
          <w:tab w:val="num" w:pos="808"/>
        </w:tabs>
        <w:ind w:left="950" w:hanging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has less than 5 fulltime equivalent employees</w:t>
      </w:r>
    </w:p>
    <w:p w:rsidR="00915778" w:rsidRPr="00D44730" w:rsidRDefault="00915778" w:rsidP="00915778">
      <w:pPr>
        <w:rPr>
          <w:rFonts w:ascii="Arial" w:hAnsi="Arial" w:cs="Arial"/>
          <w:b/>
          <w:sz w:val="22"/>
          <w:szCs w:val="22"/>
        </w:rPr>
      </w:pPr>
      <w:r w:rsidRPr="00D44730">
        <w:rPr>
          <w:rFonts w:ascii="Arial" w:hAnsi="Arial" w:cs="Arial"/>
          <w:b/>
          <w:sz w:val="22"/>
          <w:szCs w:val="22"/>
        </w:rPr>
        <w:t>Or,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D44730">
        <w:rPr>
          <w:rFonts w:ascii="Arial" w:hAnsi="Arial" w:cs="Arial"/>
          <w:b/>
          <w:sz w:val="22"/>
          <w:szCs w:val="22"/>
        </w:rPr>
        <w:t xml:space="preserve">he company </w:t>
      </w:r>
    </w:p>
    <w:p w:rsidR="00915778" w:rsidRDefault="00915778" w:rsidP="0091577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not have any subsidiaries</w:t>
      </w:r>
    </w:p>
    <w:p w:rsidR="00915778" w:rsidRPr="00E128E0" w:rsidRDefault="00915778" w:rsidP="0091577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not a subsidiary of another body corporate or associated person</w:t>
      </w:r>
      <w:r w:rsidRPr="00E128E0">
        <w:rPr>
          <w:rFonts w:ascii="Arial" w:hAnsi="Arial" w:cs="Arial"/>
          <w:sz w:val="22"/>
          <w:szCs w:val="22"/>
        </w:rPr>
        <w:t xml:space="preserve"> </w:t>
      </w:r>
    </w:p>
    <w:p w:rsidR="00915778" w:rsidRDefault="00915778" w:rsidP="00915778">
      <w:pPr>
        <w:rPr>
          <w:rFonts w:ascii="Arial" w:hAnsi="Arial" w:cs="Arial"/>
          <w:b/>
          <w:i/>
          <w:sz w:val="22"/>
          <w:szCs w:val="22"/>
        </w:rPr>
      </w:pPr>
    </w:p>
    <w:p w:rsidR="00915778" w:rsidRDefault="00915778"/>
    <w:sectPr w:rsidR="00915778" w:rsidSect="0015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82A"/>
    <w:multiLevelType w:val="hybridMultilevel"/>
    <w:tmpl w:val="A1D62A5C"/>
    <w:lvl w:ilvl="0" w:tplc="940637FA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56E42"/>
    <w:multiLevelType w:val="hybridMultilevel"/>
    <w:tmpl w:val="34A4EF80"/>
    <w:lvl w:ilvl="0" w:tplc="87D6A710">
      <w:start w:val="1"/>
      <w:numFmt w:val="lowerLetter"/>
      <w:lvlText w:val="(%1) 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">
    <w:nsid w:val="678F326F"/>
    <w:multiLevelType w:val="hybridMultilevel"/>
    <w:tmpl w:val="F7F64660"/>
    <w:lvl w:ilvl="0" w:tplc="D2AC94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8"/>
    <w:rsid w:val="00157648"/>
    <w:rsid w:val="00915778"/>
    <w:rsid w:val="00A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15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778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NormalWeb">
    <w:name w:val="Normal (Web)"/>
    <w:basedOn w:val="Normal"/>
    <w:rsid w:val="009157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15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778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NormalWeb">
    <w:name w:val="Normal (Web)"/>
    <w:basedOn w:val="Normal"/>
    <w:rsid w:val="00915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mardon</dc:creator>
  <cp:lastModifiedBy>Sam</cp:lastModifiedBy>
  <cp:revision>2</cp:revision>
  <dcterms:created xsi:type="dcterms:W3CDTF">2011-08-12T19:45:00Z</dcterms:created>
  <dcterms:modified xsi:type="dcterms:W3CDTF">2011-08-12T19:45:00Z</dcterms:modified>
</cp:coreProperties>
</file>